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D8D" w:rsidRPr="00C84987" w:rsidRDefault="00093D8D" w:rsidP="00093D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98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0C3" w:rsidRPr="00C84987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87"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D140C3" w:rsidRDefault="00D140C3" w:rsidP="00093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0C3" w:rsidRPr="00093D8D" w:rsidRDefault="00D140C3" w:rsidP="00093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8D" w:rsidRPr="00093D8D" w:rsidRDefault="00093D8D" w:rsidP="000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3D8D">
        <w:rPr>
          <w:rFonts w:ascii="Times New Roman" w:hAnsi="Times New Roman" w:cs="Times New Roman"/>
          <w:sz w:val="28"/>
          <w:szCs w:val="24"/>
        </w:rPr>
        <w:t>УДК 631.1.017</w:t>
      </w:r>
    </w:p>
    <w:p w:rsidR="00093D8D" w:rsidRPr="00093D8D" w:rsidRDefault="00093D8D" w:rsidP="000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93D8D" w:rsidRPr="00D140C3" w:rsidRDefault="00093D8D" w:rsidP="00093D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140C3">
        <w:rPr>
          <w:rFonts w:ascii="Times New Roman" w:hAnsi="Times New Roman" w:cs="Times New Roman"/>
          <w:b/>
          <w:i/>
          <w:sz w:val="28"/>
          <w:szCs w:val="24"/>
        </w:rPr>
        <w:t>Генералов И. Г.</w:t>
      </w:r>
    </w:p>
    <w:p w:rsidR="00093D8D" w:rsidRPr="00D140C3" w:rsidRDefault="00093D8D" w:rsidP="00093D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140C3">
        <w:rPr>
          <w:rFonts w:ascii="Times New Roman" w:hAnsi="Times New Roman" w:cs="Times New Roman"/>
          <w:i/>
          <w:sz w:val="28"/>
          <w:szCs w:val="24"/>
        </w:rPr>
        <w:t xml:space="preserve">к.э.н., доцент кафедры «Сервис», </w:t>
      </w:r>
      <w:proofErr w:type="spellStart"/>
      <w:r w:rsidRPr="00D140C3">
        <w:rPr>
          <w:rFonts w:ascii="Times New Roman" w:hAnsi="Times New Roman" w:cs="Times New Roman"/>
          <w:i/>
          <w:sz w:val="28"/>
          <w:szCs w:val="24"/>
        </w:rPr>
        <w:t>e-mail</w:t>
      </w:r>
      <w:proofErr w:type="spellEnd"/>
      <w:r w:rsidRPr="00D140C3">
        <w:rPr>
          <w:rFonts w:ascii="Times New Roman" w:hAnsi="Times New Roman" w:cs="Times New Roman"/>
          <w:i/>
          <w:sz w:val="28"/>
          <w:szCs w:val="24"/>
        </w:rPr>
        <w:t xml:space="preserve"> 12345@mail.ru</w:t>
      </w:r>
    </w:p>
    <w:p w:rsidR="00093D8D" w:rsidRPr="00D140C3" w:rsidRDefault="00093D8D" w:rsidP="00093D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140C3">
        <w:rPr>
          <w:rFonts w:ascii="Times New Roman" w:hAnsi="Times New Roman" w:cs="Times New Roman"/>
          <w:b/>
          <w:i/>
          <w:sz w:val="28"/>
          <w:szCs w:val="24"/>
        </w:rPr>
        <w:t>Карпов С. А.</w:t>
      </w:r>
    </w:p>
    <w:p w:rsidR="00093D8D" w:rsidRPr="00D140C3" w:rsidRDefault="00093D8D" w:rsidP="00093D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140C3">
        <w:rPr>
          <w:rFonts w:ascii="Times New Roman" w:hAnsi="Times New Roman" w:cs="Times New Roman"/>
          <w:i/>
          <w:sz w:val="28"/>
          <w:szCs w:val="24"/>
        </w:rPr>
        <w:t>студент магистратуры по направлению «Менеджмент»</w:t>
      </w:r>
    </w:p>
    <w:p w:rsidR="00093D8D" w:rsidRPr="00D140C3" w:rsidRDefault="00093D8D" w:rsidP="00093D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140C3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140C3">
        <w:rPr>
          <w:rFonts w:ascii="Times New Roman" w:hAnsi="Times New Roman" w:cs="Times New Roman"/>
          <w:i/>
          <w:sz w:val="28"/>
          <w:szCs w:val="24"/>
        </w:rPr>
        <w:t>e-mail</w:t>
      </w:r>
      <w:proofErr w:type="spellEnd"/>
      <w:r w:rsidRPr="00D140C3">
        <w:rPr>
          <w:rFonts w:ascii="Times New Roman" w:hAnsi="Times New Roman" w:cs="Times New Roman"/>
          <w:i/>
          <w:sz w:val="28"/>
          <w:szCs w:val="24"/>
        </w:rPr>
        <w:t xml:space="preserve"> 12345@mail.ru</w:t>
      </w:r>
    </w:p>
    <w:p w:rsidR="00093D8D" w:rsidRPr="00D140C3" w:rsidRDefault="00093D8D" w:rsidP="00D1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D140C3">
        <w:rPr>
          <w:rFonts w:ascii="Times New Roman" w:hAnsi="Times New Roman" w:cs="Times New Roman"/>
          <w:i/>
          <w:sz w:val="28"/>
          <w:szCs w:val="24"/>
        </w:rPr>
        <w:t>ГБОУ ВО НГИЭУ, г. Княгинино</w:t>
      </w:r>
    </w:p>
    <w:p w:rsidR="00093D8D" w:rsidRPr="00093D8D" w:rsidRDefault="00093D8D" w:rsidP="000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93D8D" w:rsidRPr="00D140C3" w:rsidRDefault="00093D8D" w:rsidP="00D1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40C3">
        <w:rPr>
          <w:rFonts w:ascii="Times New Roman" w:hAnsi="Times New Roman" w:cs="Times New Roman"/>
          <w:b/>
          <w:sz w:val="28"/>
          <w:szCs w:val="24"/>
        </w:rPr>
        <w:t>ПРИМЕНЕНИЕ СИСТЕМ СЕВООБОРОТОВ И УДОБРЕНИЙ</w:t>
      </w:r>
    </w:p>
    <w:p w:rsidR="00093D8D" w:rsidRPr="00093D8D" w:rsidRDefault="00093D8D" w:rsidP="000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84987" w:rsidRPr="00C84987" w:rsidRDefault="00C84987" w:rsidP="00C84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87">
        <w:rPr>
          <w:rFonts w:ascii="Times New Roman" w:hAnsi="Times New Roman"/>
          <w:sz w:val="28"/>
          <w:szCs w:val="28"/>
        </w:rPr>
        <w:t xml:space="preserve">Агафоновым В. П., </w:t>
      </w:r>
      <w:proofErr w:type="spellStart"/>
      <w:r w:rsidRPr="00C84987">
        <w:rPr>
          <w:rFonts w:ascii="Times New Roman" w:hAnsi="Times New Roman"/>
          <w:sz w:val="28"/>
          <w:szCs w:val="28"/>
        </w:rPr>
        <w:t>Пармакли</w:t>
      </w:r>
      <w:proofErr w:type="spellEnd"/>
      <w:r w:rsidRPr="00C84987">
        <w:rPr>
          <w:rFonts w:ascii="Times New Roman" w:hAnsi="Times New Roman"/>
          <w:sz w:val="28"/>
          <w:szCs w:val="28"/>
        </w:rPr>
        <w:t xml:space="preserve"> Д. М. и Сусловым С. А. с учетом того, что экономическая эффективность </w:t>
      </w:r>
      <w:r>
        <w:rPr>
          <w:rFonts w:ascii="Times New Roman" w:hAnsi="Times New Roman"/>
          <w:sz w:val="28"/>
          <w:szCs w:val="28"/>
        </w:rPr>
        <w:t>…</w:t>
      </w:r>
      <w:r w:rsidRPr="00C84987">
        <w:rPr>
          <w:rFonts w:ascii="Times New Roman" w:hAnsi="Times New Roman"/>
          <w:sz w:val="28"/>
          <w:szCs w:val="28"/>
        </w:rPr>
        <w:t xml:space="preserve"> [2, с. 78]:</w:t>
      </w:r>
    </w:p>
    <w:p w:rsidR="00C84987" w:rsidRPr="00C84987" w:rsidRDefault="00C84987" w:rsidP="00C84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987" w:rsidRPr="00C84987" w:rsidRDefault="00C84987" w:rsidP="00C8498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987">
        <w:rPr>
          <w:rFonts w:ascii="Times New Roman" w:hAnsi="Times New Roman"/>
          <w:position w:val="-24"/>
          <w:sz w:val="28"/>
          <w:szCs w:val="28"/>
        </w:rPr>
        <w:object w:dxaOrig="7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.75pt" o:ole="">
            <v:imagedata r:id="rId6" o:title=""/>
          </v:shape>
          <o:OLEObject Type="Embed" ProgID="Equation.3" ShapeID="_x0000_i1025" DrawAspect="Content" ObjectID="_1735631857" r:id="rId7"/>
        </w:object>
      </w:r>
      <w:proofErr w:type="gramStart"/>
      <w:r w:rsidRPr="00C84987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C84987">
        <w:rPr>
          <w:rFonts w:ascii="Times New Roman" w:hAnsi="Times New Roman"/>
          <w:sz w:val="28"/>
          <w:szCs w:val="28"/>
        </w:rPr>
        <w:t xml:space="preserve">                                                          (1)</w:t>
      </w:r>
    </w:p>
    <w:p w:rsidR="00C84987" w:rsidRPr="00C84987" w:rsidRDefault="00C84987" w:rsidP="00C8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987">
        <w:rPr>
          <w:rFonts w:ascii="Times New Roman" w:hAnsi="Times New Roman"/>
          <w:sz w:val="28"/>
          <w:szCs w:val="28"/>
        </w:rPr>
        <w:t xml:space="preserve">где Э – экономическая эффективность </w:t>
      </w:r>
      <w:proofErr w:type="spellStart"/>
      <w:r w:rsidRPr="00C84987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 w:rsidRPr="00C84987">
        <w:rPr>
          <w:rFonts w:ascii="Times New Roman" w:hAnsi="Times New Roman"/>
          <w:sz w:val="28"/>
          <w:szCs w:val="28"/>
        </w:rPr>
        <w:t>, руб./руб.; Q – стоимость произведенной валовой продукции (зерновых и зернобобовых культур), руб.; Z – полная себестоимость реализованного зерна, руб.</w:t>
      </w:r>
    </w:p>
    <w:p w:rsidR="00093D8D" w:rsidRPr="00C84987" w:rsidRDefault="00093D8D" w:rsidP="00D14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987" w:rsidRDefault="00C86665" w:rsidP="00C8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987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C84987" w:rsidRPr="00C84987">
        <w:rPr>
          <w:rFonts w:ascii="Times New Roman" w:hAnsi="Times New Roman" w:cs="Times New Roman"/>
          <w:sz w:val="28"/>
          <w:szCs w:val="28"/>
        </w:rPr>
        <w:t>Структура формирования емкости рынка зерна</w:t>
      </w:r>
    </w:p>
    <w:p w:rsidR="00C86665" w:rsidRPr="00C84987" w:rsidRDefault="00C84987" w:rsidP="00C8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987">
        <w:rPr>
          <w:rFonts w:ascii="Times New Roman" w:hAnsi="Times New Roman" w:cs="Times New Roman"/>
          <w:sz w:val="28"/>
          <w:szCs w:val="28"/>
        </w:rPr>
        <w:t>в Нижегородской области, тыс. т</w:t>
      </w:r>
    </w:p>
    <w:tbl>
      <w:tblPr>
        <w:tblStyle w:val="a3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934"/>
        <w:gridCol w:w="935"/>
        <w:gridCol w:w="934"/>
        <w:gridCol w:w="935"/>
        <w:gridCol w:w="935"/>
        <w:gridCol w:w="1139"/>
      </w:tblGrid>
      <w:tr w:rsidR="00C84987" w:rsidRPr="00C84987" w:rsidTr="00C84987">
        <w:trPr>
          <w:trHeight w:val="315"/>
        </w:trPr>
        <w:tc>
          <w:tcPr>
            <w:tcW w:w="3572" w:type="dxa"/>
            <w:tcBorders>
              <w:bottom w:val="single" w:sz="4" w:space="0" w:color="auto"/>
            </w:tcBorders>
            <w:vAlign w:val="center"/>
            <w:hideMark/>
          </w:tcPr>
          <w:p w:rsidR="00C84987" w:rsidRPr="00C84987" w:rsidRDefault="00C84987" w:rsidP="00D460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</w:t>
            </w: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84987" w:rsidRPr="00C84987" w:rsidRDefault="00C84987" w:rsidP="00D460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</w:t>
            </w:r>
          </w:p>
          <w:p w:rsidR="00C84987" w:rsidRPr="00C84987" w:rsidRDefault="00C84987" w:rsidP="00D460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рота, %</w:t>
            </w:r>
          </w:p>
        </w:tc>
      </w:tr>
      <w:tr w:rsidR="00C84987" w:rsidRPr="00C84987" w:rsidTr="00C84987">
        <w:trPr>
          <w:trHeight w:val="77"/>
        </w:trPr>
        <w:tc>
          <w:tcPr>
            <w:tcW w:w="3572" w:type="dxa"/>
            <w:tcBorders>
              <w:bottom w:val="nil"/>
            </w:tcBorders>
            <w:hideMark/>
          </w:tcPr>
          <w:p w:rsidR="00C84987" w:rsidRPr="00C84987" w:rsidRDefault="00C84987" w:rsidP="00C849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Производство зерна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918,6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1 133,4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1 150,1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1 127,5</w:t>
            </w:r>
          </w:p>
        </w:tc>
        <w:tc>
          <w:tcPr>
            <w:tcW w:w="1139" w:type="dxa"/>
            <w:tcBorders>
              <w:bottom w:val="nil"/>
            </w:tcBorders>
            <w:noWrap/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120,8</w:t>
            </w:r>
          </w:p>
        </w:tc>
      </w:tr>
      <w:tr w:rsidR="00C84987" w:rsidRPr="00C84987" w:rsidTr="00C84987">
        <w:trPr>
          <w:trHeight w:val="87"/>
        </w:trPr>
        <w:tc>
          <w:tcPr>
            <w:tcW w:w="3572" w:type="dxa"/>
            <w:tcBorders>
              <w:top w:val="nil"/>
              <w:bottom w:val="nil"/>
            </w:tcBorders>
            <w:hideMark/>
          </w:tcPr>
          <w:p w:rsidR="00C84987" w:rsidRPr="00C84987" w:rsidRDefault="00C84987" w:rsidP="00C849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Импорт (включая ввоз)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ерна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210,9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1139" w:type="dxa"/>
            <w:tcBorders>
              <w:top w:val="nil"/>
              <w:bottom w:val="nil"/>
            </w:tcBorders>
            <w:noWrap/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187,0</w:t>
            </w:r>
          </w:p>
        </w:tc>
      </w:tr>
      <w:tr w:rsidR="00C84987" w:rsidRPr="00C84987" w:rsidTr="00C84987">
        <w:trPr>
          <w:trHeight w:val="87"/>
        </w:trPr>
        <w:tc>
          <w:tcPr>
            <w:tcW w:w="3572" w:type="dxa"/>
            <w:tcBorders>
              <w:top w:val="nil"/>
              <w:bottom w:val="nil"/>
            </w:tcBorders>
            <w:hideMark/>
          </w:tcPr>
          <w:p w:rsidR="00C84987" w:rsidRPr="00C84987" w:rsidRDefault="00C84987" w:rsidP="00D460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Экспорт (включая вывоз) зерна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139" w:type="dxa"/>
            <w:tcBorders>
              <w:top w:val="nil"/>
              <w:bottom w:val="nil"/>
            </w:tcBorders>
            <w:noWrap/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</w:tr>
      <w:tr w:rsidR="00C84987" w:rsidRPr="00C84987" w:rsidTr="00C84987">
        <w:trPr>
          <w:trHeight w:val="87"/>
        </w:trPr>
        <w:tc>
          <w:tcPr>
            <w:tcW w:w="3572" w:type="dxa"/>
            <w:tcBorders>
              <w:top w:val="nil"/>
            </w:tcBorders>
            <w:hideMark/>
          </w:tcPr>
          <w:p w:rsidR="00C84987" w:rsidRPr="00C84987" w:rsidRDefault="00C84987" w:rsidP="00D460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Емкость рынка зерна</w:t>
            </w:r>
          </w:p>
        </w:tc>
        <w:tc>
          <w:tcPr>
            <w:tcW w:w="934" w:type="dxa"/>
            <w:tcBorders>
              <w:top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808,2</w:t>
            </w: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1 009,1</w:t>
            </w:r>
          </w:p>
        </w:tc>
        <w:tc>
          <w:tcPr>
            <w:tcW w:w="934" w:type="dxa"/>
            <w:tcBorders>
              <w:top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1 165,9</w:t>
            </w: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1 009,1</w:t>
            </w:r>
          </w:p>
        </w:tc>
        <w:tc>
          <w:tcPr>
            <w:tcW w:w="935" w:type="dxa"/>
            <w:tcBorders>
              <w:top w:val="nil"/>
            </w:tcBorders>
            <w:noWrap/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1 147,8</w:t>
            </w:r>
          </w:p>
        </w:tc>
        <w:tc>
          <w:tcPr>
            <w:tcW w:w="1139" w:type="dxa"/>
            <w:tcBorders>
              <w:top w:val="nil"/>
            </w:tcBorders>
            <w:noWrap/>
            <w:vAlign w:val="center"/>
          </w:tcPr>
          <w:p w:rsidR="00C84987" w:rsidRPr="00C84987" w:rsidRDefault="00C84987" w:rsidP="00D460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987">
              <w:rPr>
                <w:rFonts w:ascii="Times New Roman" w:hAnsi="Times New Roman"/>
                <w:color w:val="000000"/>
                <w:sz w:val="24"/>
                <w:szCs w:val="24"/>
              </w:rPr>
              <w:t>142,0</w:t>
            </w:r>
          </w:p>
        </w:tc>
      </w:tr>
    </w:tbl>
    <w:p w:rsidR="00C84987" w:rsidRDefault="00C84987" w:rsidP="00C8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140C3" w:rsidRDefault="00C84987" w:rsidP="00C8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84987">
        <w:rPr>
          <w:rFonts w:ascii="Times New Roman" w:hAnsi="Times New Roman" w:cs="Times New Roman"/>
          <w:sz w:val="28"/>
          <w:szCs w:val="24"/>
        </w:rPr>
        <w:t>За последние пять лет в Нижегоро</w:t>
      </w:r>
      <w:r>
        <w:rPr>
          <w:rFonts w:ascii="Times New Roman" w:hAnsi="Times New Roman" w:cs="Times New Roman"/>
          <w:sz w:val="28"/>
          <w:szCs w:val="24"/>
        </w:rPr>
        <w:t>дской области наблюдается увели</w:t>
      </w:r>
      <w:r w:rsidRPr="00C84987">
        <w:rPr>
          <w:rFonts w:ascii="Times New Roman" w:hAnsi="Times New Roman" w:cs="Times New Roman"/>
          <w:sz w:val="28"/>
          <w:szCs w:val="24"/>
        </w:rPr>
        <w:t>чение емкости рынка зерна. Сложившаяся тенденция обуславливается в первую очередь наращиванием зерна собственного производства в регионе на 20,8 %. В 2016 г. наблюдается незначительное наращивание объема вывоза нижегородского зерна за пределы области на 3,4 % по сравнению с уровнем 2012 г. На фоне наращивания производства также наметилась тенденция значительного увеличения объемов поставок импортного зерна в Нижегородскую область. В общей структуре ресурсов зерна импортное составляет почти 14 %, что ставит под угрозу продовольственную независимость региона и конкурентоспособность нижегородских производителей зерна.</w:t>
      </w:r>
    </w:p>
    <w:p w:rsidR="00C86665" w:rsidRDefault="00C84987" w:rsidP="000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4619B03" wp14:editId="7F84732A">
            <wp:extent cx="5943600" cy="3327991"/>
            <wp:effectExtent l="0" t="0" r="0" b="6350"/>
            <wp:docPr id="227" name="Диаграмма 2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4987" w:rsidRDefault="00C84987" w:rsidP="00C8498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C86665" w:rsidRDefault="00C84987" w:rsidP="00C8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23DD9">
        <w:rPr>
          <w:rFonts w:ascii="Times New Roman" w:eastAsia="Times New Roman" w:hAnsi="Times New Roman"/>
          <w:sz w:val="30"/>
          <w:szCs w:val="30"/>
        </w:rPr>
        <w:t xml:space="preserve">Рисунок </w:t>
      </w:r>
      <w:r>
        <w:rPr>
          <w:rFonts w:ascii="Times New Roman" w:eastAsia="Times New Roman" w:hAnsi="Times New Roman"/>
          <w:sz w:val="30"/>
          <w:szCs w:val="30"/>
        </w:rPr>
        <w:t>1</w:t>
      </w:r>
      <w:r w:rsidRPr="00D23DD9">
        <w:rPr>
          <w:rFonts w:ascii="Times New Roman" w:eastAsia="Times New Roman" w:hAnsi="Times New Roman"/>
          <w:sz w:val="30"/>
          <w:szCs w:val="30"/>
        </w:rPr>
        <w:t xml:space="preserve"> – Сокращение количества сельскохозяйственных организаций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D23DD9">
        <w:rPr>
          <w:rFonts w:ascii="Times New Roman" w:eastAsia="Times New Roman" w:hAnsi="Times New Roman"/>
          <w:sz w:val="30"/>
          <w:szCs w:val="30"/>
        </w:rPr>
        <w:t>в Нижегородской области, шт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86665" w:rsidRDefault="00C86665" w:rsidP="000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93D8D" w:rsidRPr="00C84987" w:rsidRDefault="00093D8D" w:rsidP="00D1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4987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093D8D" w:rsidRPr="00093D8D" w:rsidRDefault="00093D8D" w:rsidP="00D14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3D8D">
        <w:rPr>
          <w:rFonts w:ascii="Times New Roman" w:hAnsi="Times New Roman" w:cs="Times New Roman"/>
          <w:sz w:val="28"/>
          <w:szCs w:val="24"/>
        </w:rPr>
        <w:t xml:space="preserve">1. Бутко И. В., Ефимов И. А. Концентрация производства и оптимальные размеры сельскохозяйственных предприятий // Вестник </w:t>
      </w:r>
      <w:proofErr w:type="spellStart"/>
      <w:r w:rsidRPr="00093D8D">
        <w:rPr>
          <w:rFonts w:ascii="Times New Roman" w:hAnsi="Times New Roman" w:cs="Times New Roman"/>
          <w:sz w:val="28"/>
          <w:szCs w:val="24"/>
        </w:rPr>
        <w:t>ОрелГАУ</w:t>
      </w:r>
      <w:proofErr w:type="spellEnd"/>
      <w:r w:rsidRPr="00093D8D">
        <w:rPr>
          <w:rFonts w:ascii="Times New Roman" w:hAnsi="Times New Roman" w:cs="Times New Roman"/>
          <w:sz w:val="28"/>
          <w:szCs w:val="24"/>
        </w:rPr>
        <w:t>. 2012. № 1 (34). С. 15–20.</w:t>
      </w:r>
    </w:p>
    <w:p w:rsidR="00093D8D" w:rsidRPr="00093D8D" w:rsidRDefault="00093D8D" w:rsidP="00D14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8D">
        <w:rPr>
          <w:rFonts w:ascii="Times New Roman" w:hAnsi="Times New Roman" w:cs="Times New Roman"/>
          <w:sz w:val="28"/>
          <w:szCs w:val="24"/>
        </w:rPr>
        <w:t xml:space="preserve">2. Социально-экономические проблемы устойчивого развития сельских территорий: монография / Под ред. проф. А. Е. Шамина. Княгинино. НГИЭИ. 2011. 256 </w:t>
      </w:r>
      <w:r w:rsidRPr="00093D8D">
        <w:rPr>
          <w:rFonts w:ascii="Times New Roman" w:hAnsi="Times New Roman" w:cs="Times New Roman"/>
          <w:sz w:val="24"/>
          <w:szCs w:val="24"/>
        </w:rPr>
        <w:t>с.</w:t>
      </w:r>
    </w:p>
    <w:sectPr w:rsidR="00093D8D" w:rsidRPr="0009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3088"/>
    <w:multiLevelType w:val="hybridMultilevel"/>
    <w:tmpl w:val="4128F088"/>
    <w:lvl w:ilvl="0" w:tplc="11540E00">
      <w:start w:val="1"/>
      <w:numFmt w:val="decimal"/>
      <w:lvlText w:val="%1."/>
      <w:lvlJc w:val="left"/>
      <w:pPr>
        <w:ind w:left="720" w:hanging="360"/>
      </w:pPr>
    </w:lvl>
    <w:lvl w:ilvl="1" w:tplc="96E2E36C">
      <w:start w:val="1"/>
      <w:numFmt w:val="decimal"/>
      <w:lvlText w:val="%2."/>
      <w:lvlJc w:val="left"/>
      <w:pPr>
        <w:ind w:left="1440" w:hanging="360"/>
      </w:pPr>
    </w:lvl>
    <w:lvl w:ilvl="2" w:tplc="4A504A36">
      <w:start w:val="1"/>
      <w:numFmt w:val="decimal"/>
      <w:lvlText w:val="%3."/>
      <w:lvlJc w:val="left"/>
      <w:pPr>
        <w:ind w:left="2160" w:hanging="360"/>
      </w:pPr>
    </w:lvl>
    <w:lvl w:ilvl="3" w:tplc="8C763572">
      <w:start w:val="1"/>
      <w:numFmt w:val="decimal"/>
      <w:lvlText w:val="%4."/>
      <w:lvlJc w:val="left"/>
      <w:pPr>
        <w:ind w:left="2880" w:hanging="360"/>
      </w:pPr>
    </w:lvl>
    <w:lvl w:ilvl="4" w:tplc="CBF897BA">
      <w:start w:val="1"/>
      <w:numFmt w:val="decimal"/>
      <w:lvlText w:val="%5."/>
      <w:lvlJc w:val="left"/>
      <w:pPr>
        <w:ind w:left="3600" w:hanging="360"/>
      </w:pPr>
    </w:lvl>
    <w:lvl w:ilvl="5" w:tplc="4FFCEB02">
      <w:start w:val="1"/>
      <w:numFmt w:val="decimal"/>
      <w:lvlText w:val="%6."/>
      <w:lvlJc w:val="left"/>
      <w:pPr>
        <w:ind w:left="4320" w:hanging="360"/>
      </w:pPr>
    </w:lvl>
    <w:lvl w:ilvl="6" w:tplc="63A4EAB6">
      <w:start w:val="1"/>
      <w:numFmt w:val="decimal"/>
      <w:lvlText w:val="%7."/>
      <w:lvlJc w:val="left"/>
      <w:pPr>
        <w:ind w:left="5040" w:hanging="360"/>
      </w:pPr>
    </w:lvl>
    <w:lvl w:ilvl="7" w:tplc="104A678E">
      <w:start w:val="1"/>
      <w:numFmt w:val="decimal"/>
      <w:lvlText w:val="%8."/>
      <w:lvlJc w:val="left"/>
      <w:pPr>
        <w:ind w:left="5760" w:hanging="360"/>
      </w:pPr>
    </w:lvl>
    <w:lvl w:ilvl="8" w:tplc="3F1A4E9A">
      <w:start w:val="1"/>
      <w:numFmt w:val="decimal"/>
      <w:lvlText w:val="%9."/>
      <w:lvlJc w:val="left"/>
      <w:pPr>
        <w:ind w:left="6480" w:hanging="360"/>
      </w:pPr>
    </w:lvl>
  </w:abstractNum>
  <w:num w:numId="1" w16cid:durableId="179097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DD"/>
    <w:rsid w:val="00074E91"/>
    <w:rsid w:val="00093D8D"/>
    <w:rsid w:val="00153E00"/>
    <w:rsid w:val="0019796D"/>
    <w:rsid w:val="002A4264"/>
    <w:rsid w:val="004F0D6D"/>
    <w:rsid w:val="00515676"/>
    <w:rsid w:val="00566D82"/>
    <w:rsid w:val="00692819"/>
    <w:rsid w:val="006C4395"/>
    <w:rsid w:val="006D17FE"/>
    <w:rsid w:val="007439DD"/>
    <w:rsid w:val="00930B89"/>
    <w:rsid w:val="00C21612"/>
    <w:rsid w:val="00C84987"/>
    <w:rsid w:val="00C86665"/>
    <w:rsid w:val="00D140C3"/>
    <w:rsid w:val="00EA14E0"/>
    <w:rsid w:val="00F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1637"/>
  <w15:docId w15:val="{73E4E413-0750-4428-8144-2ED5FAD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0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89;&#1089;&#1077;&#1088;&#1090;&#1072;&#1094;&#1080;&#1103;\&#1042;%20&#1057;&#1072;&#1088;&#1072;&#1085;&#1089;&#1082;\&#1055;&#1077;&#1088;&#1089;&#1095;&#1080;&#1090;&#1072;&#1085;&#1086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855461589525084E-2"/>
          <c:y val="9.6185497427091191E-2"/>
          <c:w val="0.92426727463065106"/>
          <c:h val="0.54794653262601301"/>
        </c:manualLayout>
      </c:layout>
      <c:lineChart>
        <c:grouping val="standard"/>
        <c:varyColors val="0"/>
        <c:ser>
          <c:idx val="0"/>
          <c:order val="0"/>
          <c:tx>
            <c:strRef>
              <c:f>Лист15!$B$1</c:f>
              <c:strCache>
                <c:ptCount val="1"/>
                <c:pt idx="0">
                  <c:v>Количество сельскохозяйственных организаций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-1.346086773227229E-3"/>
                  <c:y val="-0.17378273984408665"/>
                </c:manualLayout>
              </c:layout>
              <c:numFmt formatCode="General" sourceLinked="0"/>
            </c:trendlineLbl>
          </c:trendline>
          <c:cat>
            <c:numRef>
              <c:f>Лист15!$A$2:$A$16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Лист15!$B$2:$B$16</c:f>
              <c:numCache>
                <c:formatCode>General</c:formatCode>
                <c:ptCount val="15"/>
                <c:pt idx="0">
                  <c:v>860</c:v>
                </c:pt>
                <c:pt idx="1">
                  <c:v>831</c:v>
                </c:pt>
                <c:pt idx="2">
                  <c:v>774</c:v>
                </c:pt>
                <c:pt idx="3">
                  <c:v>846</c:v>
                </c:pt>
                <c:pt idx="4">
                  <c:v>793</c:v>
                </c:pt>
                <c:pt idx="5">
                  <c:v>737</c:v>
                </c:pt>
                <c:pt idx="6">
                  <c:v>709</c:v>
                </c:pt>
                <c:pt idx="7">
                  <c:v>680</c:v>
                </c:pt>
                <c:pt idx="8">
                  <c:v>642</c:v>
                </c:pt>
                <c:pt idx="9">
                  <c:v>629</c:v>
                </c:pt>
                <c:pt idx="10">
                  <c:v>600</c:v>
                </c:pt>
                <c:pt idx="11">
                  <c:v>562</c:v>
                </c:pt>
                <c:pt idx="12">
                  <c:v>536</c:v>
                </c:pt>
                <c:pt idx="13">
                  <c:v>498</c:v>
                </c:pt>
                <c:pt idx="14">
                  <c:v>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CF-4EBA-AD52-63BDFFB5E517}"/>
            </c:ext>
          </c:extLst>
        </c:ser>
        <c:ser>
          <c:idx val="1"/>
          <c:order val="1"/>
          <c:tx>
            <c:strRef>
              <c:f>Лист15!$C$1</c:f>
              <c:strCache>
                <c:ptCount val="1"/>
                <c:pt idx="0">
                  <c:v>Количество прибыльных сельскохозяйственных организаций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-3.2393956449318903E-2"/>
                  <c:y val="0.14317765503192698"/>
                </c:manualLayout>
              </c:layout>
              <c:numFmt formatCode="General" sourceLinked="0"/>
            </c:trendlineLbl>
          </c:trendline>
          <c:cat>
            <c:numRef>
              <c:f>Лист15!$A$2:$A$16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Лист15!$C$2:$C$16</c:f>
              <c:numCache>
                <c:formatCode>General</c:formatCode>
                <c:ptCount val="15"/>
                <c:pt idx="0">
                  <c:v>313</c:v>
                </c:pt>
                <c:pt idx="1">
                  <c:v>334</c:v>
                </c:pt>
                <c:pt idx="2">
                  <c:v>461</c:v>
                </c:pt>
                <c:pt idx="3">
                  <c:v>459</c:v>
                </c:pt>
                <c:pt idx="4">
                  <c:v>500</c:v>
                </c:pt>
                <c:pt idx="5">
                  <c:v>575</c:v>
                </c:pt>
                <c:pt idx="6">
                  <c:v>562</c:v>
                </c:pt>
                <c:pt idx="7">
                  <c:v>514</c:v>
                </c:pt>
                <c:pt idx="8">
                  <c:v>452</c:v>
                </c:pt>
                <c:pt idx="9">
                  <c:v>502</c:v>
                </c:pt>
                <c:pt idx="10">
                  <c:v>446</c:v>
                </c:pt>
                <c:pt idx="11">
                  <c:v>440</c:v>
                </c:pt>
                <c:pt idx="12">
                  <c:v>434</c:v>
                </c:pt>
                <c:pt idx="13">
                  <c:v>340</c:v>
                </c:pt>
                <c:pt idx="14">
                  <c:v>319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ACF-4EBA-AD52-63BDFFB5E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98656"/>
        <c:axId val="135013120"/>
      </c:lineChart>
      <c:catAx>
        <c:axId val="134998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3368715929739554"/>
              <c:y val="0.7171230743580144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5013120"/>
        <c:crosses val="autoZero"/>
        <c:auto val="1"/>
        <c:lblAlgn val="ctr"/>
        <c:lblOffset val="100"/>
        <c:noMultiLvlLbl val="0"/>
      </c:catAx>
      <c:valAx>
        <c:axId val="1350131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Шт.</a:t>
                </a:r>
              </a:p>
            </c:rich>
          </c:tx>
          <c:layout>
            <c:manualLayout>
              <c:xMode val="edge"/>
              <c:yMode val="edge"/>
              <c:x val="1.3603787591884805E-3"/>
              <c:y val="9.8292837850009768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499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7359877508177357E-5"/>
          <c:y val="0.75446294404039194"/>
          <c:w val="0.99992258405198875"/>
          <c:h val="0.2383837230269880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73DE-E279-4834-A79E-B8F242E7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Richard Black</cp:lastModifiedBy>
  <cp:revision>2</cp:revision>
  <cp:lastPrinted>2023-01-18T08:19:00Z</cp:lastPrinted>
  <dcterms:created xsi:type="dcterms:W3CDTF">2023-01-19T08:11:00Z</dcterms:created>
  <dcterms:modified xsi:type="dcterms:W3CDTF">2023-01-19T08:11:00Z</dcterms:modified>
</cp:coreProperties>
</file>